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ABB973">
      <w:pPr>
        <w:spacing w:before="120" w:after="360"/>
        <w:jc w:val="center"/>
      </w:pPr>
      <w:r>
        <w:rPr>
          <w:rFonts w:ascii="Times New Roman" w:eastAsia="黑体"/>
          <w:b/>
          <w:bCs/>
          <w:color w:val="000000"/>
          <w:sz w:val="36"/>
          <w:szCs w:val="36"/>
        </w:rPr>
        <w:t>湖南省数字认证服务中心有限公司</w:t>
      </w:r>
      <w:r>
        <w:rPr>
          <w:rFonts w:hint="eastAsia" w:ascii="Times New Roman" w:eastAsia="黑体" w:hAnsiTheme="minorHAnsi" w:cstheme="minorBidi"/>
          <w:b/>
          <w:bCs/>
          <w:color w:val="000000"/>
          <w:sz w:val="36"/>
          <w:szCs w:val="36"/>
        </w:rPr>
        <w:t>依赖方协议</w:t>
      </w:r>
    </w:p>
    <w:p w14:paraId="6F11261F">
      <w:pPr>
        <w:spacing w:after="80" w:line="360" w:lineRule="auto"/>
        <w:ind w:firstLine="480"/>
        <w:jc w:val="both"/>
      </w:pPr>
      <w:r>
        <w:rPr>
          <w:rFonts w:ascii="Times New Roman" w:eastAsia="宋体"/>
          <w:color w:val="000000"/>
          <w:sz w:val="24"/>
          <w:szCs w:val="24"/>
        </w:rPr>
        <w:t>湖南省数字认证服务中心有限公司（以下简称</w:t>
      </w:r>
      <w:r>
        <w:rPr>
          <w:rFonts w:hint="eastAsia"/>
          <w:color w:val="000000"/>
          <w:sz w:val="24"/>
          <w:szCs w:val="24"/>
          <w:lang w:eastAsia="zh-CN"/>
        </w:rPr>
        <w:t>“</w:t>
      </w:r>
      <w:r>
        <w:rPr>
          <w:rFonts w:ascii="Times New Roman" w:eastAsia="宋体"/>
          <w:color w:val="000000"/>
          <w:sz w:val="24"/>
          <w:szCs w:val="24"/>
        </w:rPr>
        <w:t>湖南 CA</w:t>
      </w:r>
      <w:r>
        <w:rPr>
          <w:rFonts w:hint="eastAsia"/>
          <w:color w:val="000000"/>
          <w:sz w:val="24"/>
          <w:szCs w:val="24"/>
          <w:lang w:eastAsia="zh-CN"/>
        </w:rPr>
        <w:t>”</w:t>
      </w:r>
      <w:r>
        <w:rPr>
          <w:rFonts w:ascii="Times New Roman" w:eastAsia="宋体"/>
          <w:color w:val="000000"/>
          <w:sz w:val="24"/>
          <w:szCs w:val="24"/>
        </w:rPr>
        <w:t>），系工业和信息化部批准设立的电子认证服务机构，依据《中华人民共和国电子签名法》开展电子认证服务。</w:t>
      </w:r>
    </w:p>
    <w:p w14:paraId="1C76FD17">
      <w:pPr>
        <w:spacing w:after="80" w:line="360" w:lineRule="auto"/>
        <w:ind w:firstLine="480"/>
        <w:jc w:val="both"/>
        <w:rPr>
          <w:rFonts w:ascii="Times New Roman" w:eastAsia="宋体"/>
          <w:color w:val="000000"/>
          <w:sz w:val="24"/>
          <w:szCs w:val="24"/>
        </w:rPr>
      </w:pPr>
      <w:r>
        <w:rPr>
          <w:rFonts w:ascii="Times New Roman" w:eastAsia="宋体"/>
          <w:color w:val="000000"/>
          <w:sz w:val="24"/>
          <w:szCs w:val="24"/>
        </w:rPr>
        <w:t>当您拟信赖湖南C</w:t>
      </w:r>
      <w:r>
        <w:rPr>
          <w:rFonts w:hint="eastAsia"/>
          <w:color w:val="000000"/>
          <w:sz w:val="24"/>
          <w:szCs w:val="24"/>
          <w:lang w:val="en-US" w:eastAsia="zh-CN"/>
        </w:rPr>
        <w:t>A</w:t>
      </w:r>
      <w:r>
        <w:rPr>
          <w:rFonts w:ascii="Times New Roman" w:eastAsia="宋体"/>
          <w:color w:val="000000"/>
          <w:sz w:val="24"/>
          <w:szCs w:val="24"/>
        </w:rPr>
        <w:t>签发的数字证书，或访问、使用证书撤销列表（CRL）及其他相关信息库前，请认真阅读并同意《湖南省数字认证服务中心有限公司电子认证业务规则》（以下简称</w:t>
      </w:r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  <w:lang w:val="en-US" w:eastAsia="zh-CN" w:bidi="ar"/>
        </w:rPr>
        <w:t>“本协议”</w:t>
      </w:r>
      <w:r>
        <w:rPr>
          <w:rFonts w:ascii="Times New Roman" w:eastAsia="宋体"/>
          <w:color w:val="000000"/>
          <w:sz w:val="24"/>
          <w:szCs w:val="24"/>
        </w:rPr>
        <w:t>）。请您完整阅读本协议全部内容；若您不认可本协议全部或部分条款，请不要使用湖南C</w:t>
      </w:r>
      <w:r>
        <w:rPr>
          <w:rFonts w:hint="eastAsia"/>
          <w:color w:val="000000"/>
          <w:sz w:val="24"/>
          <w:szCs w:val="24"/>
          <w:lang w:val="en-US" w:eastAsia="zh-CN"/>
        </w:rPr>
        <w:t>A</w:t>
      </w:r>
      <w:r>
        <w:rPr>
          <w:rFonts w:ascii="Times New Roman" w:eastAsia="宋体"/>
          <w:color w:val="000000"/>
          <w:sz w:val="24"/>
          <w:szCs w:val="24"/>
        </w:rPr>
        <w:t>提供的电子认证服务。您一旦使用湖南C</w:t>
      </w:r>
      <w:r>
        <w:rPr>
          <w:rFonts w:hint="eastAsia"/>
          <w:color w:val="000000"/>
          <w:sz w:val="24"/>
          <w:szCs w:val="24"/>
          <w:lang w:val="en-US" w:eastAsia="zh-CN"/>
        </w:rPr>
        <w:t>A</w:t>
      </w:r>
      <w:bookmarkStart w:id="0" w:name="_GoBack"/>
      <w:bookmarkEnd w:id="0"/>
      <w:r>
        <w:rPr>
          <w:rFonts w:ascii="Times New Roman" w:eastAsia="宋体"/>
          <w:color w:val="000000"/>
          <w:sz w:val="24"/>
          <w:szCs w:val="24"/>
        </w:rPr>
        <w:t>电子认证服务，即视为已完整接受本协议全部约定。</w:t>
      </w:r>
    </w:p>
    <w:p w14:paraId="7E9ED557">
      <w:pPr>
        <w:spacing w:before="280" w:after="140" w:line="360" w:lineRule="auto"/>
      </w:pPr>
      <w:r>
        <w:rPr>
          <w:rFonts w:ascii="Times New Roman" w:eastAsia="黑体"/>
          <w:b/>
          <w:bCs/>
          <w:color w:val="000000"/>
          <w:sz w:val="24"/>
          <w:szCs w:val="24"/>
        </w:rPr>
        <w:t>一、依赖方的权利、义务与责任</w:t>
      </w:r>
    </w:p>
    <w:p w14:paraId="6051D856">
      <w:pPr>
        <w:spacing w:after="80" w:line="360" w:lineRule="auto"/>
        <w:ind w:firstLine="480"/>
        <w:jc w:val="both"/>
        <w:rPr>
          <w:rFonts w:ascii="Times New Roman" w:eastAsia="宋体"/>
          <w:color w:val="000000"/>
          <w:sz w:val="24"/>
          <w:szCs w:val="24"/>
        </w:rPr>
      </w:pPr>
      <w:r>
        <w:rPr>
          <w:rFonts w:ascii="Times New Roman" w:eastAsia="宋体"/>
          <w:color w:val="000000"/>
          <w:sz w:val="24"/>
          <w:szCs w:val="24"/>
        </w:rPr>
        <w:t>1.依赖方在信赖订户数字证书前，应当尽到合理审慎义务，完成数字证书与数字签名的有效性核验。</w:t>
      </w:r>
    </w:p>
    <w:p w14:paraId="2402A95D">
      <w:pPr>
        <w:spacing w:after="80" w:line="360" w:lineRule="auto"/>
        <w:ind w:firstLine="480"/>
        <w:jc w:val="both"/>
      </w:pPr>
      <w:r>
        <w:rPr>
          <w:rFonts w:ascii="Times New Roman" w:eastAsia="宋体"/>
          <w:color w:val="000000"/>
          <w:sz w:val="24"/>
          <w:szCs w:val="24"/>
        </w:rPr>
        <w:t>2.依赖方已经充分知晓并自愿承担因信赖相关证书所产生的全部风险。</w:t>
      </w:r>
    </w:p>
    <w:p w14:paraId="25ABF449">
      <w:pPr>
        <w:spacing w:after="80" w:line="360" w:lineRule="auto"/>
        <w:ind w:firstLine="480"/>
        <w:jc w:val="both"/>
      </w:pPr>
      <w:r>
        <w:rPr>
          <w:rFonts w:ascii="Times New Roman" w:eastAsia="宋体"/>
          <w:color w:val="000000"/>
          <w:sz w:val="24"/>
          <w:szCs w:val="24"/>
        </w:rPr>
        <w:t>3.依赖方应自行判断并决定是否对证书所载信息予以信赖。</w:t>
      </w:r>
    </w:p>
    <w:p w14:paraId="001B0205">
      <w:pPr>
        <w:spacing w:after="80" w:line="360" w:lineRule="auto"/>
        <w:ind w:firstLine="480"/>
        <w:jc w:val="both"/>
      </w:pPr>
      <w:r>
        <w:rPr>
          <w:rFonts w:ascii="Times New Roman" w:eastAsia="宋体"/>
          <w:color w:val="000000"/>
          <w:sz w:val="24"/>
          <w:szCs w:val="24"/>
        </w:rPr>
        <w:t>4.依赖方仅可在证书限定的适用场景范围内信赖证书。</w:t>
      </w:r>
    </w:p>
    <w:p w14:paraId="0916DDDE">
      <w:pPr>
        <w:spacing w:after="80" w:line="360" w:lineRule="auto"/>
        <w:ind w:firstLine="480"/>
        <w:jc w:val="both"/>
      </w:pPr>
      <w:r>
        <w:rPr>
          <w:rFonts w:hint="eastAsia"/>
          <w:color w:val="000000"/>
          <w:sz w:val="24"/>
          <w:szCs w:val="24"/>
          <w:lang w:val="en-US" w:eastAsia="zh-CN"/>
        </w:rPr>
        <w:t>5</w:t>
      </w:r>
      <w:r>
        <w:rPr>
          <w:rFonts w:ascii="Times New Roman" w:eastAsia="宋体"/>
          <w:color w:val="000000"/>
          <w:sz w:val="24"/>
          <w:szCs w:val="24"/>
        </w:rPr>
        <w:t>.因依赖方自身故意、过失或疏漏行为造成的一切损失，由依赖方自行承担。前述情形包括但不限于：未遵守本协议相关规定；未履行协议约定义务；未核验证书状态即直接信赖证书；明知或应当知晓证书存在超范围使用、超过有效期、证书被盗、信息错误等问题，仍继续信赖证书并开展相关业务活动。</w:t>
      </w:r>
    </w:p>
    <w:p w14:paraId="422D06B9">
      <w:pPr>
        <w:spacing w:after="80" w:line="360" w:lineRule="auto"/>
        <w:ind w:firstLine="480"/>
        <w:jc w:val="both"/>
        <w:rPr>
          <w:rFonts w:ascii="Times New Roman" w:eastAsia="宋体"/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  <w:lang w:val="en-US" w:eastAsia="zh-CN"/>
        </w:rPr>
        <w:t>6</w:t>
      </w:r>
      <w:r>
        <w:rPr>
          <w:rFonts w:ascii="Times New Roman" w:eastAsia="宋体"/>
          <w:color w:val="000000"/>
          <w:sz w:val="24"/>
          <w:szCs w:val="24"/>
        </w:rPr>
        <w:t>.因依赖方行为造成湖南 CA 或第三方遭受损失的，依赖方应当承担赔偿责任，并使湖南 CA 免受第三方提出的索赔。</w:t>
      </w:r>
    </w:p>
    <w:p w14:paraId="6CD6B022">
      <w:pPr>
        <w:spacing w:after="80" w:line="360" w:lineRule="auto"/>
        <w:ind w:firstLine="480"/>
        <w:jc w:val="both"/>
        <w:rPr>
          <w:rFonts w:ascii="Times New Roman" w:eastAsia="宋体"/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  <w:lang w:val="en-US" w:eastAsia="zh-CN"/>
        </w:rPr>
        <w:t>7</w:t>
      </w:r>
      <w:r>
        <w:rPr>
          <w:rFonts w:ascii="Times New Roman" w:eastAsia="宋体"/>
          <w:color w:val="000000"/>
          <w:sz w:val="24"/>
          <w:szCs w:val="24"/>
        </w:rPr>
        <w:t>.依赖方在使用湖南 CA 信息库、信赖湖南 CA 签发证书时，应当遵守本协议关于依赖方义务与责任的全部约定。</w:t>
      </w:r>
    </w:p>
    <w:p w14:paraId="465A656F">
      <w:pPr>
        <w:spacing w:before="280" w:after="140" w:line="360" w:lineRule="auto"/>
      </w:pPr>
      <w:r>
        <w:rPr>
          <w:rFonts w:ascii="Times New Roman" w:eastAsia="黑体"/>
          <w:b/>
          <w:bCs/>
          <w:color w:val="000000"/>
          <w:sz w:val="24"/>
          <w:szCs w:val="24"/>
        </w:rPr>
        <w:t>二、湖南 CA 的权利、义务、责任范围及免责</w:t>
      </w:r>
    </w:p>
    <w:p w14:paraId="77C689B9">
      <w:pPr>
        <w:spacing w:before="160" w:after="100" w:line="360" w:lineRule="auto"/>
        <w:ind w:firstLine="480"/>
      </w:pPr>
      <w:r>
        <w:rPr>
          <w:rFonts w:ascii="Times New Roman" w:eastAsia="宋体"/>
          <w:b/>
          <w:bCs/>
          <w:color w:val="000000"/>
          <w:sz w:val="24"/>
          <w:szCs w:val="24"/>
        </w:rPr>
        <w:t>（一）湖南 CA 的权利与义务</w:t>
      </w:r>
    </w:p>
    <w:p w14:paraId="459286BB">
      <w:pPr>
        <w:spacing w:after="80" w:line="360" w:lineRule="auto"/>
        <w:ind w:firstLine="480"/>
        <w:jc w:val="both"/>
      </w:pPr>
      <w:r>
        <w:rPr>
          <w:rFonts w:ascii="Times New Roman" w:eastAsia="宋体"/>
          <w:color w:val="000000"/>
          <w:sz w:val="24"/>
          <w:szCs w:val="24"/>
        </w:rPr>
        <w:t>1.湖南 CA 按照本协议约定提供电子认证服务，完整的《湖</w:t>
      </w:r>
      <w:r>
        <w:rPr>
          <w:rFonts w:hint="eastAsia"/>
          <w:color w:val="000000"/>
          <w:sz w:val="24"/>
          <w:szCs w:val="24"/>
          <w:lang w:val="en-US" w:eastAsia="zh-CN"/>
        </w:rPr>
        <w:t>南</w:t>
      </w:r>
      <w:r>
        <w:rPr>
          <w:rFonts w:ascii="Times New Roman" w:eastAsia="宋体"/>
          <w:color w:val="000000"/>
          <w:sz w:val="24"/>
          <w:szCs w:val="24"/>
        </w:rPr>
        <w:t>CA电子认证业务规则》公示于湖</w:t>
      </w:r>
      <w:r>
        <w:rPr>
          <w:rFonts w:hint="eastAsia"/>
          <w:color w:val="000000"/>
          <w:sz w:val="24"/>
          <w:szCs w:val="24"/>
          <w:lang w:val="en-US" w:eastAsia="zh-CN"/>
        </w:rPr>
        <w:t>南</w:t>
      </w:r>
      <w:r>
        <w:rPr>
          <w:rFonts w:ascii="Times New Roman" w:eastAsia="宋体"/>
          <w:color w:val="000000"/>
          <w:sz w:val="24"/>
          <w:szCs w:val="24"/>
        </w:rPr>
        <w:t>CA官方网站：https://www.hnca.com.cn/。</w:t>
      </w:r>
    </w:p>
    <w:p w14:paraId="493F3E61">
      <w:pPr>
        <w:spacing w:after="80" w:line="360" w:lineRule="auto"/>
        <w:ind w:firstLine="480"/>
        <w:jc w:val="both"/>
      </w:pPr>
      <w:r>
        <w:rPr>
          <w:rFonts w:ascii="Times New Roman" w:eastAsia="宋体"/>
          <w:color w:val="000000"/>
          <w:sz w:val="24"/>
          <w:szCs w:val="24"/>
        </w:rPr>
        <w:t>2.证书签发完成后，湖南 CA 按照业务规则提供证书状态查询服务，供依赖方核验使用。</w:t>
      </w:r>
    </w:p>
    <w:p w14:paraId="6A7C625C">
      <w:pPr>
        <w:spacing w:after="80" w:line="360" w:lineRule="auto"/>
        <w:ind w:firstLine="480"/>
        <w:jc w:val="both"/>
      </w:pPr>
      <w:r>
        <w:rPr>
          <w:rFonts w:ascii="Times New Roman" w:eastAsia="宋体"/>
          <w:color w:val="000000"/>
          <w:sz w:val="24"/>
          <w:szCs w:val="24"/>
        </w:rPr>
        <w:t>3.证书对外发布后，湖</w:t>
      </w:r>
      <w:r>
        <w:rPr>
          <w:rFonts w:hint="eastAsia"/>
          <w:color w:val="000000"/>
          <w:sz w:val="24"/>
          <w:szCs w:val="24"/>
          <w:lang w:val="en-US" w:eastAsia="zh-CN"/>
        </w:rPr>
        <w:t>南</w:t>
      </w:r>
      <w:r>
        <w:rPr>
          <w:rFonts w:ascii="Times New Roman" w:eastAsia="宋体"/>
          <w:color w:val="000000"/>
          <w:sz w:val="24"/>
          <w:szCs w:val="24"/>
        </w:rPr>
        <w:t>CA保证其颁发的数字证书内载明的订户信息准确。</w:t>
      </w:r>
    </w:p>
    <w:p w14:paraId="04BBF220">
      <w:pPr>
        <w:spacing w:after="80" w:line="360" w:lineRule="auto"/>
        <w:ind w:firstLine="480"/>
        <w:jc w:val="both"/>
      </w:pPr>
      <w:r>
        <w:rPr>
          <w:rFonts w:ascii="Times New Roman" w:eastAsia="宋体"/>
          <w:color w:val="000000"/>
          <w:sz w:val="24"/>
          <w:szCs w:val="24"/>
        </w:rPr>
        <w:t>4.为保障服务质量、及时处理使用过程中出现的问题，湖</w:t>
      </w:r>
      <w:r>
        <w:rPr>
          <w:rFonts w:hint="eastAsia"/>
          <w:color w:val="000000"/>
          <w:sz w:val="24"/>
          <w:szCs w:val="24"/>
          <w:lang w:val="en-US" w:eastAsia="zh-CN"/>
        </w:rPr>
        <w:t>南</w:t>
      </w:r>
      <w:r>
        <w:rPr>
          <w:rFonts w:ascii="Times New Roman" w:eastAsia="宋体"/>
          <w:color w:val="000000"/>
          <w:sz w:val="24"/>
          <w:szCs w:val="24"/>
        </w:rPr>
        <w:t>CA开通 400 服务热线：4006682666，同时设置服务监督电话：0731-88590261。</w:t>
      </w:r>
    </w:p>
    <w:p w14:paraId="3F28413D">
      <w:pPr>
        <w:spacing w:before="160" w:after="100" w:line="360" w:lineRule="auto"/>
        <w:ind w:firstLine="480"/>
      </w:pPr>
      <w:r>
        <w:rPr>
          <w:rFonts w:ascii="Times New Roman" w:eastAsia="宋体"/>
          <w:b/>
          <w:bCs/>
          <w:color w:val="000000"/>
          <w:sz w:val="24"/>
          <w:szCs w:val="24"/>
        </w:rPr>
        <w:t>（二）赔偿限额</w:t>
      </w:r>
    </w:p>
    <w:p w14:paraId="23768405">
      <w:pPr>
        <w:spacing w:after="80" w:line="360" w:lineRule="auto"/>
        <w:ind w:firstLine="480"/>
        <w:jc w:val="both"/>
      </w:pPr>
      <w:r>
        <w:rPr>
          <w:rFonts w:ascii="Times New Roman" w:eastAsia="宋体"/>
          <w:color w:val="000000"/>
          <w:sz w:val="24"/>
          <w:szCs w:val="24"/>
        </w:rPr>
        <w:t>如湖南 CA 违反本协议约定给依赖方造成损失的，赔偿责任按照《湖南 CA 电子认证业务规则》执行。</w:t>
      </w:r>
    </w:p>
    <w:p w14:paraId="5655E497">
      <w:pPr>
        <w:spacing w:before="160" w:after="100" w:line="360" w:lineRule="auto"/>
        <w:ind w:firstLine="480"/>
      </w:pPr>
      <w:r>
        <w:rPr>
          <w:rFonts w:ascii="Times New Roman" w:eastAsia="宋体"/>
          <w:b/>
          <w:bCs/>
          <w:color w:val="000000"/>
          <w:sz w:val="24"/>
          <w:szCs w:val="24"/>
        </w:rPr>
        <w:t>（三）责任限制与免除</w:t>
      </w:r>
    </w:p>
    <w:p w14:paraId="0BDEE313">
      <w:pPr>
        <w:spacing w:after="80" w:line="360" w:lineRule="auto"/>
        <w:ind w:firstLine="480"/>
        <w:jc w:val="both"/>
      </w:pPr>
      <w:r>
        <w:rPr>
          <w:rFonts w:ascii="Times New Roman" w:eastAsia="宋体"/>
          <w:color w:val="000000"/>
          <w:sz w:val="24"/>
          <w:szCs w:val="24"/>
        </w:rPr>
        <w:t>1.湖南 CA 不担任依赖方的代理人、受托人、管理人或其他受托代表，双方之间不存在委托代理法律关系，依赖方无权通过合同或其他方式为湖南C</w:t>
      </w:r>
      <w:r>
        <w:rPr>
          <w:rFonts w:hint="eastAsia"/>
          <w:color w:val="000000"/>
          <w:sz w:val="24"/>
          <w:szCs w:val="24"/>
          <w:lang w:val="en-US" w:eastAsia="zh-CN"/>
        </w:rPr>
        <w:t>A</w:t>
      </w:r>
      <w:r>
        <w:rPr>
          <w:rFonts w:ascii="Times New Roman" w:eastAsia="宋体"/>
          <w:color w:val="000000"/>
          <w:sz w:val="24"/>
          <w:szCs w:val="24"/>
        </w:rPr>
        <w:t>设定信托类义务。</w:t>
      </w:r>
    </w:p>
    <w:p w14:paraId="7D0120A9">
      <w:pPr>
        <w:spacing w:after="80" w:line="360" w:lineRule="auto"/>
        <w:ind w:firstLine="480"/>
        <w:jc w:val="both"/>
      </w:pPr>
      <w:r>
        <w:rPr>
          <w:rFonts w:ascii="Times New Roman" w:eastAsia="宋体"/>
          <w:color w:val="000000"/>
          <w:sz w:val="24"/>
          <w:szCs w:val="24"/>
        </w:rPr>
        <w:t>2.因依赖方自身原因引发的损害，湖南C</w:t>
      </w:r>
      <w:r>
        <w:rPr>
          <w:rFonts w:hint="eastAsia"/>
          <w:color w:val="000000"/>
          <w:sz w:val="24"/>
          <w:szCs w:val="24"/>
          <w:lang w:val="en-US" w:eastAsia="zh-CN"/>
        </w:rPr>
        <w:t>A</w:t>
      </w:r>
      <w:r>
        <w:rPr>
          <w:rFonts w:ascii="Times New Roman" w:eastAsia="宋体"/>
          <w:color w:val="000000"/>
          <w:sz w:val="24"/>
          <w:szCs w:val="24"/>
        </w:rPr>
        <w:t>不承担赔偿责任。</w:t>
      </w:r>
    </w:p>
    <w:p w14:paraId="0AF087C5">
      <w:pPr>
        <w:spacing w:after="80" w:line="360" w:lineRule="auto"/>
        <w:ind w:firstLine="480"/>
        <w:jc w:val="both"/>
      </w:pPr>
      <w:r>
        <w:rPr>
          <w:rFonts w:ascii="Times New Roman" w:eastAsia="宋体"/>
          <w:color w:val="000000"/>
          <w:sz w:val="24"/>
          <w:szCs w:val="24"/>
        </w:rPr>
        <w:t>3.订户向依赖方传输的信息存在错误，依赖方经数字签名验证后据此产生信赖的，相关后果由订户承担，湖南C</w:t>
      </w:r>
      <w:r>
        <w:rPr>
          <w:rFonts w:hint="eastAsia"/>
          <w:color w:val="000000"/>
          <w:sz w:val="24"/>
          <w:szCs w:val="24"/>
          <w:lang w:val="en-US" w:eastAsia="zh-CN"/>
        </w:rPr>
        <w:t>A</w:t>
      </w:r>
      <w:r>
        <w:rPr>
          <w:rFonts w:ascii="Times New Roman" w:eastAsia="宋体"/>
          <w:color w:val="000000"/>
          <w:sz w:val="24"/>
          <w:szCs w:val="24"/>
        </w:rPr>
        <w:t>不承担责任。</w:t>
      </w:r>
    </w:p>
    <w:p w14:paraId="1798BCE7">
      <w:pPr>
        <w:spacing w:after="80" w:line="360" w:lineRule="auto"/>
        <w:ind w:firstLine="480"/>
        <w:jc w:val="both"/>
      </w:pPr>
      <w:r>
        <w:rPr>
          <w:rFonts w:ascii="Times New Roman" w:eastAsia="宋体"/>
          <w:color w:val="000000"/>
          <w:sz w:val="24"/>
          <w:szCs w:val="24"/>
        </w:rPr>
        <w:t>4.因设备、网络等技术故障，造成证书签发错误、证书服务暂停或部分终止的，湖南C</w:t>
      </w:r>
      <w:r>
        <w:rPr>
          <w:rFonts w:hint="eastAsia"/>
          <w:color w:val="000000"/>
          <w:sz w:val="24"/>
          <w:szCs w:val="24"/>
          <w:lang w:val="en-US" w:eastAsia="zh-CN"/>
        </w:rPr>
        <w:t>A</w:t>
      </w:r>
      <w:r>
        <w:rPr>
          <w:rFonts w:ascii="Times New Roman" w:eastAsia="宋体"/>
          <w:color w:val="000000"/>
          <w:sz w:val="24"/>
          <w:szCs w:val="24"/>
        </w:rPr>
        <w:t>不承担赔偿责任。本条款所称技术故障原因包括但不限于：不可抗力；电力、电信等第三方关联单位故障；黑客攻击；软硬件及网络本身故障。</w:t>
      </w:r>
    </w:p>
    <w:p w14:paraId="6C4A3DD7">
      <w:pPr>
        <w:spacing w:after="80" w:line="360" w:lineRule="auto"/>
        <w:ind w:firstLine="480"/>
        <w:jc w:val="both"/>
      </w:pPr>
      <w:r>
        <w:rPr>
          <w:rFonts w:ascii="Times New Roman" w:eastAsia="宋体"/>
          <w:color w:val="000000"/>
          <w:sz w:val="24"/>
          <w:szCs w:val="24"/>
        </w:rPr>
        <w:t>5.湖南C</w:t>
      </w:r>
      <w:r>
        <w:rPr>
          <w:rFonts w:hint="eastAsia"/>
          <w:color w:val="000000"/>
          <w:sz w:val="24"/>
          <w:szCs w:val="24"/>
          <w:lang w:val="en-US" w:eastAsia="zh-CN"/>
        </w:rPr>
        <w:t>A</w:t>
      </w:r>
      <w:r>
        <w:rPr>
          <w:rFonts w:ascii="Times New Roman" w:eastAsia="宋体"/>
          <w:color w:val="000000"/>
          <w:sz w:val="24"/>
          <w:szCs w:val="24"/>
        </w:rPr>
        <w:t>已遵守国家法律法规及电子认证业务规则，仍发生损失的，湖南C</w:t>
      </w:r>
      <w:r>
        <w:rPr>
          <w:rFonts w:hint="eastAsia"/>
          <w:color w:val="000000"/>
          <w:sz w:val="24"/>
          <w:szCs w:val="24"/>
          <w:lang w:val="en-US" w:eastAsia="zh-CN"/>
        </w:rPr>
        <w:t>A</w:t>
      </w:r>
      <w:r>
        <w:rPr>
          <w:rFonts w:ascii="Times New Roman" w:eastAsia="宋体"/>
          <w:color w:val="000000"/>
          <w:sz w:val="24"/>
          <w:szCs w:val="24"/>
        </w:rPr>
        <w:t>不承担赔偿责任。</w:t>
      </w:r>
    </w:p>
    <w:p w14:paraId="037AD35A">
      <w:pPr>
        <w:spacing w:before="280" w:after="140" w:line="360" w:lineRule="auto"/>
      </w:pPr>
      <w:r>
        <w:rPr>
          <w:rFonts w:ascii="Times New Roman" w:eastAsia="黑体"/>
          <w:b/>
          <w:bCs/>
          <w:color w:val="000000"/>
          <w:sz w:val="24"/>
          <w:szCs w:val="24"/>
        </w:rPr>
        <w:t>三、知识产权</w:t>
      </w:r>
    </w:p>
    <w:p w14:paraId="0978F92E">
      <w:pPr>
        <w:spacing w:after="80" w:line="360" w:lineRule="auto"/>
        <w:ind w:firstLine="480"/>
        <w:jc w:val="both"/>
      </w:pPr>
      <w:r>
        <w:rPr>
          <w:rFonts w:ascii="Times New Roman" w:eastAsia="宋体"/>
          <w:color w:val="000000"/>
          <w:sz w:val="24"/>
          <w:szCs w:val="24"/>
        </w:rPr>
        <w:t>湖南C</w:t>
      </w:r>
      <w:r>
        <w:rPr>
          <w:rFonts w:hint="eastAsia"/>
          <w:color w:val="000000"/>
          <w:sz w:val="24"/>
          <w:szCs w:val="24"/>
          <w:lang w:val="en-US" w:eastAsia="zh-CN"/>
        </w:rPr>
        <w:t>A</w:t>
      </w:r>
      <w:r>
        <w:rPr>
          <w:rFonts w:ascii="Times New Roman" w:eastAsia="宋体"/>
          <w:color w:val="000000"/>
          <w:sz w:val="24"/>
          <w:szCs w:val="24"/>
        </w:rPr>
        <w:t>完整保留证书及配套软件的全部知识产权，包括但不限于所有权、名称权、著作权、专利权、收益权等。</w:t>
      </w:r>
    </w:p>
    <w:p w14:paraId="29B26FA9">
      <w:pPr>
        <w:spacing w:after="80" w:line="360" w:lineRule="auto"/>
        <w:ind w:firstLine="480"/>
        <w:jc w:val="both"/>
      </w:pPr>
      <w:r>
        <w:rPr>
          <w:rFonts w:ascii="Times New Roman" w:eastAsia="宋体"/>
          <w:color w:val="000000"/>
          <w:sz w:val="24"/>
          <w:szCs w:val="24"/>
        </w:rPr>
        <w:t>湖南C</w:t>
      </w:r>
      <w:r>
        <w:rPr>
          <w:rFonts w:hint="eastAsia"/>
          <w:color w:val="000000"/>
          <w:sz w:val="24"/>
          <w:szCs w:val="24"/>
          <w:lang w:val="en-US" w:eastAsia="zh-CN"/>
        </w:rPr>
        <w:t>A</w:t>
      </w:r>
      <w:r>
        <w:rPr>
          <w:rFonts w:ascii="Times New Roman" w:eastAsia="宋体"/>
          <w:color w:val="000000"/>
          <w:sz w:val="24"/>
          <w:szCs w:val="24"/>
        </w:rPr>
        <w:t>签发的证书、配套软件及相关文档、使用手册的版权、商标权及其他知识产权均归湖南C</w:t>
      </w:r>
      <w:r>
        <w:rPr>
          <w:rFonts w:hint="eastAsia"/>
          <w:color w:val="000000"/>
          <w:sz w:val="24"/>
          <w:szCs w:val="24"/>
          <w:lang w:val="en-US" w:eastAsia="zh-CN"/>
        </w:rPr>
        <w:t>A</w:t>
      </w:r>
      <w:r>
        <w:rPr>
          <w:rFonts w:ascii="Times New Roman" w:eastAsia="宋体"/>
          <w:color w:val="000000"/>
          <w:sz w:val="24"/>
          <w:szCs w:val="24"/>
        </w:rPr>
        <w:t xml:space="preserve"> 所有。未经湖南 CA 事先书面许可，依赖方不得使用上述文档及手册。</w:t>
      </w:r>
    </w:p>
    <w:p w14:paraId="239E77C1">
      <w:pPr>
        <w:spacing w:before="280" w:after="140" w:line="360" w:lineRule="auto"/>
      </w:pPr>
      <w:r>
        <w:rPr>
          <w:rFonts w:ascii="Times New Roman" w:eastAsia="黑体"/>
          <w:b/>
          <w:bCs/>
          <w:color w:val="000000"/>
          <w:sz w:val="24"/>
          <w:szCs w:val="24"/>
        </w:rPr>
        <w:t>四、法律适用与管辖</w:t>
      </w:r>
    </w:p>
    <w:p w14:paraId="2C3B8E7C">
      <w:pPr>
        <w:spacing w:after="80" w:line="360" w:lineRule="auto"/>
        <w:ind w:firstLine="480"/>
        <w:jc w:val="both"/>
      </w:pPr>
      <w:r>
        <w:rPr>
          <w:rFonts w:ascii="Times New Roman" w:eastAsia="宋体"/>
          <w:color w:val="000000"/>
          <w:sz w:val="24"/>
          <w:szCs w:val="24"/>
        </w:rPr>
        <w:t>本协议的效力、解释、修改、履行及争议处理，均适用中华人民共和国法律。因本协议产生的争议，各方应优先友好协商解决；协商不成的，各方同意将争议提交长沙市仲裁委员会，在长沙进行仲裁，仲裁裁决为终局裁决，对各方均具有法律约束力。</w:t>
      </w:r>
    </w:p>
    <w:p w14:paraId="547D88DA">
      <w:pPr>
        <w:spacing w:before="280" w:after="140" w:line="360" w:lineRule="auto"/>
      </w:pPr>
      <w:r>
        <w:rPr>
          <w:rFonts w:ascii="Times New Roman" w:eastAsia="黑体"/>
          <w:b/>
          <w:bCs/>
          <w:color w:val="000000"/>
          <w:sz w:val="24"/>
          <w:szCs w:val="24"/>
        </w:rPr>
        <w:t>五、其他</w:t>
      </w:r>
    </w:p>
    <w:p w14:paraId="2398772D">
      <w:pPr>
        <w:spacing w:after="80" w:line="360" w:lineRule="auto"/>
        <w:ind w:firstLine="480"/>
        <w:jc w:val="both"/>
      </w:pPr>
      <w:r>
        <w:rPr>
          <w:rFonts w:ascii="Times New Roman" w:eastAsia="宋体"/>
          <w:color w:val="000000"/>
          <w:sz w:val="24"/>
          <w:szCs w:val="24"/>
        </w:rPr>
        <w:t>1.湖南C</w:t>
      </w:r>
      <w:r>
        <w:rPr>
          <w:rFonts w:hint="eastAsia"/>
          <w:color w:val="000000"/>
          <w:sz w:val="24"/>
          <w:szCs w:val="24"/>
          <w:lang w:val="en-US" w:eastAsia="zh-CN"/>
        </w:rPr>
        <w:t>A</w:t>
      </w:r>
      <w:r>
        <w:rPr>
          <w:rFonts w:ascii="Times New Roman" w:eastAsia="宋体"/>
          <w:color w:val="000000"/>
          <w:sz w:val="24"/>
          <w:szCs w:val="24"/>
        </w:rPr>
        <w:t>可随时更新本协议，更新版本发布后即替代旧版协议。</w:t>
      </w:r>
    </w:p>
    <w:p w14:paraId="43A501A5">
      <w:pPr>
        <w:spacing w:after="80" w:line="360" w:lineRule="auto"/>
        <w:ind w:firstLine="480"/>
        <w:jc w:val="both"/>
      </w:pPr>
      <w:r>
        <w:rPr>
          <w:rFonts w:ascii="Times New Roman" w:eastAsia="宋体"/>
          <w:color w:val="000000"/>
          <w:sz w:val="24"/>
          <w:szCs w:val="24"/>
        </w:rPr>
        <w:t>2.本协议与《湖南C</w:t>
      </w:r>
      <w:r>
        <w:rPr>
          <w:rFonts w:hint="eastAsia"/>
          <w:color w:val="000000"/>
          <w:sz w:val="24"/>
          <w:szCs w:val="24"/>
          <w:lang w:val="en-US" w:eastAsia="zh-CN"/>
        </w:rPr>
        <w:t>A</w:t>
      </w:r>
      <w:r>
        <w:rPr>
          <w:rFonts w:ascii="Times New Roman" w:eastAsia="宋体"/>
          <w:color w:val="000000"/>
          <w:sz w:val="24"/>
          <w:szCs w:val="24"/>
        </w:rPr>
        <w:t>电子认证业务规则》共同构成完整协议。</w:t>
      </w:r>
    </w:p>
    <w:p w14:paraId="4F288744">
      <w:pPr>
        <w:spacing w:after="80" w:line="360" w:lineRule="auto"/>
        <w:ind w:firstLine="480"/>
        <w:jc w:val="both"/>
      </w:pPr>
      <w:r>
        <w:rPr>
          <w:rFonts w:ascii="Times New Roman" w:eastAsia="宋体"/>
          <w:color w:val="000000"/>
          <w:sz w:val="24"/>
          <w:szCs w:val="24"/>
        </w:rPr>
        <w:t>3.本协议任意条款因任何原因部分或全部无效的，不影响其余条款继续有效。</w:t>
      </w:r>
    </w:p>
    <w:p w14:paraId="057A2AF7">
      <w:pPr>
        <w:spacing w:after="80" w:line="360" w:lineRule="auto"/>
        <w:ind w:firstLine="480"/>
        <w:jc w:val="both"/>
      </w:pPr>
      <w:r>
        <w:rPr>
          <w:rFonts w:ascii="Times New Roman" w:eastAsia="宋体"/>
          <w:color w:val="000000"/>
          <w:sz w:val="24"/>
          <w:szCs w:val="24"/>
        </w:rPr>
        <w:t>本协议最终解释权归湖南省数字认证服务中心有限公司所有。</w:t>
      </w:r>
    </w:p>
    <w:sectPr>
      <w:footerReference r:id="rId3" w:type="default"/>
      <w:pgSz w:w="11906" w:h="16838"/>
      <w:pgMar w:top="1440" w:right="1440" w:bottom="1440" w:left="144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99359E">
    <w:pPr>
      <w:jc w:val="center"/>
    </w:pPr>
    <w:r>
      <w:rPr>
        <w:rFonts w:ascii="Times New Roman" w:eastAsia="宋体"/>
        <w:color w:val="000000"/>
        <w:sz w:val="18"/>
        <w:szCs w:val="18"/>
      </w:rPr>
      <w:fldChar w:fldCharType="begin"/>
    </w:r>
    <w:r>
      <w:rPr>
        <w:rFonts w:ascii="Times New Roman" w:eastAsia="宋体"/>
        <w:color w:val="000000"/>
        <w:sz w:val="18"/>
        <w:szCs w:val="18"/>
      </w:rPr>
      <w:instrText xml:space="preserve">PAGE</w:instrText>
    </w:r>
    <w:r>
      <w:rPr>
        <w:rFonts w:ascii="Times New Roman" w:eastAsia="宋体"/>
        <w:color w:val="000000"/>
        <w:sz w:val="18"/>
        <w:szCs w:val="18"/>
      </w:rPr>
      <w:fldChar w:fldCharType="separate"/>
    </w:r>
    <w:r>
      <w:rPr>
        <w:rFonts w:ascii="Times New Roman" w:eastAsia="宋体"/>
        <w:color w:val="000000"/>
        <w:sz w:val="18"/>
        <w:szCs w:val="18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documentProtection w:enforcement="0"/>
  <w:compat>
    <w:useFELayout/>
    <w:compatSetting w:name="compatibilityMode" w:uri="http://schemas.microsoft.com/office/word" w:val="15"/>
  </w:compat>
  <w:rsids>
    <w:rsidRoot w:val="00000000"/>
    <w:rsid w:val="0EBC676E"/>
    <w:rsid w:val="2C6F400B"/>
    <w:rsid w:val="65216F2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Theme="minorHAnsi" w:eastAsia="宋体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iPriority="99" w:name="endnote reference"/>
    <w:lsdException w:qFormat="1"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eastAsia="宋体" w:hAnsiTheme="minorHAnsi" w:cstheme="minorBidi"/>
      <w:color w:val="000000"/>
      <w:sz w:val="24"/>
      <w:szCs w:val="24"/>
    </w:rPr>
  </w:style>
  <w:style w:type="paragraph" w:styleId="2">
    <w:name w:val="heading 1"/>
    <w:next w:val="1"/>
    <w:qFormat/>
    <w:uiPriority w:val="0"/>
    <w:pPr>
      <w:jc w:val="both"/>
    </w:pPr>
    <w:rPr>
      <w:rFonts w:ascii="Times New Roman" w:eastAsia="宋体" w:hAnsiTheme="minorHAnsi" w:cstheme="minorBidi"/>
      <w:color w:val="2E74B5"/>
      <w:sz w:val="32"/>
      <w:szCs w:val="32"/>
    </w:rPr>
  </w:style>
  <w:style w:type="paragraph" w:styleId="3">
    <w:name w:val="heading 2"/>
    <w:next w:val="1"/>
    <w:qFormat/>
    <w:uiPriority w:val="0"/>
    <w:pPr>
      <w:jc w:val="both"/>
    </w:pPr>
    <w:rPr>
      <w:rFonts w:ascii="Times New Roman" w:eastAsia="宋体" w:hAnsiTheme="minorHAnsi" w:cstheme="minorBidi"/>
      <w:color w:val="2E74B5"/>
      <w:sz w:val="26"/>
      <w:szCs w:val="26"/>
    </w:rPr>
  </w:style>
  <w:style w:type="paragraph" w:styleId="4">
    <w:name w:val="heading 3"/>
    <w:next w:val="1"/>
    <w:qFormat/>
    <w:uiPriority w:val="0"/>
    <w:pPr>
      <w:jc w:val="both"/>
    </w:pPr>
    <w:rPr>
      <w:rFonts w:ascii="Times New Roman" w:eastAsia="宋体" w:hAnsiTheme="minorHAnsi" w:cstheme="minorBidi"/>
      <w:color w:val="1F4D78"/>
      <w:sz w:val="24"/>
      <w:szCs w:val="24"/>
    </w:rPr>
  </w:style>
  <w:style w:type="paragraph" w:styleId="5">
    <w:name w:val="heading 4"/>
    <w:next w:val="1"/>
    <w:qFormat/>
    <w:uiPriority w:val="0"/>
    <w:pPr>
      <w:jc w:val="both"/>
    </w:pPr>
    <w:rPr>
      <w:rFonts w:ascii="Times New Roman" w:eastAsia="宋体" w:hAnsiTheme="minorHAnsi" w:cstheme="minorBidi"/>
      <w:i/>
      <w:iCs/>
      <w:color w:val="2E74B5"/>
      <w:sz w:val="24"/>
      <w:szCs w:val="24"/>
    </w:rPr>
  </w:style>
  <w:style w:type="paragraph" w:styleId="6">
    <w:name w:val="heading 5"/>
    <w:next w:val="1"/>
    <w:qFormat/>
    <w:uiPriority w:val="0"/>
    <w:pPr>
      <w:jc w:val="both"/>
    </w:pPr>
    <w:rPr>
      <w:rFonts w:ascii="Times New Roman" w:eastAsia="宋体" w:hAnsiTheme="minorHAnsi" w:cstheme="minorBidi"/>
      <w:color w:val="2E74B5"/>
      <w:sz w:val="24"/>
      <w:szCs w:val="24"/>
    </w:rPr>
  </w:style>
  <w:style w:type="paragraph" w:styleId="7">
    <w:name w:val="heading 6"/>
    <w:next w:val="1"/>
    <w:qFormat/>
    <w:uiPriority w:val="0"/>
    <w:pPr>
      <w:jc w:val="both"/>
    </w:pPr>
    <w:rPr>
      <w:rFonts w:ascii="Times New Roman" w:eastAsia="宋体" w:hAnsiTheme="minorHAnsi" w:cstheme="minorBidi"/>
      <w:color w:val="1F4D78"/>
      <w:sz w:val="24"/>
      <w:szCs w:val="24"/>
    </w:rPr>
  </w:style>
  <w:style w:type="character" w:default="1" w:styleId="12">
    <w:name w:val="Default Paragraph Font"/>
    <w:semiHidden/>
    <w:uiPriority w:val="0"/>
  </w:style>
  <w:style w:type="table" w:default="1" w:styleId="11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endnote text"/>
    <w:link w:val="18"/>
    <w:semiHidden/>
    <w:unhideWhenUsed/>
    <w:qFormat/>
    <w:uiPriority w:val="99"/>
    <w:pPr>
      <w:spacing w:after="0" w:line="240" w:lineRule="auto"/>
      <w:jc w:val="both"/>
    </w:pPr>
    <w:rPr>
      <w:rFonts w:ascii="Times New Roman" w:eastAsia="宋体" w:hAnsiTheme="minorHAnsi" w:cstheme="minorBidi"/>
      <w:color w:val="000000"/>
      <w:sz w:val="20"/>
      <w:szCs w:val="20"/>
    </w:rPr>
  </w:style>
  <w:style w:type="paragraph" w:styleId="9">
    <w:name w:val="footnote text"/>
    <w:link w:val="17"/>
    <w:semiHidden/>
    <w:unhideWhenUsed/>
    <w:qFormat/>
    <w:uiPriority w:val="99"/>
    <w:pPr>
      <w:spacing w:after="0" w:line="240" w:lineRule="auto"/>
      <w:jc w:val="both"/>
    </w:pPr>
    <w:rPr>
      <w:rFonts w:ascii="Times New Roman" w:eastAsia="宋体" w:hAnsiTheme="minorHAnsi" w:cstheme="minorBidi"/>
      <w:color w:val="000000"/>
      <w:sz w:val="20"/>
      <w:szCs w:val="20"/>
    </w:rPr>
  </w:style>
  <w:style w:type="paragraph" w:styleId="10">
    <w:name w:val="Title"/>
    <w:qFormat/>
    <w:uiPriority w:val="0"/>
    <w:pPr>
      <w:jc w:val="both"/>
    </w:pPr>
    <w:rPr>
      <w:rFonts w:ascii="Times New Roman" w:eastAsia="宋体" w:hAnsiTheme="minorHAnsi" w:cstheme="minorBidi"/>
      <w:color w:val="000000"/>
      <w:sz w:val="56"/>
      <w:szCs w:val="56"/>
    </w:rPr>
  </w:style>
  <w:style w:type="character" w:styleId="13">
    <w:name w:val="endnote reference"/>
    <w:semiHidden/>
    <w:unhideWhenUsed/>
    <w:qFormat/>
    <w:uiPriority w:val="99"/>
    <w:rPr>
      <w:vertAlign w:val="superscript"/>
    </w:rPr>
  </w:style>
  <w:style w:type="character" w:styleId="14">
    <w:name w:val="Hyperlink"/>
    <w:unhideWhenUsed/>
    <w:uiPriority w:val="99"/>
    <w:rPr>
      <w:color w:val="0563C1"/>
      <w:u w:val="single"/>
    </w:rPr>
  </w:style>
  <w:style w:type="character" w:styleId="15">
    <w:name w:val="footnote reference"/>
    <w:semiHidden/>
    <w:unhideWhenUsed/>
    <w:qFormat/>
    <w:uiPriority w:val="99"/>
    <w:rPr>
      <w:vertAlign w:val="superscript"/>
    </w:rPr>
  </w:style>
  <w:style w:type="paragraph" w:styleId="16">
    <w:name w:val="List Paragraph"/>
    <w:qFormat/>
    <w:uiPriority w:val="0"/>
    <w:pPr>
      <w:jc w:val="both"/>
    </w:pPr>
    <w:rPr>
      <w:rFonts w:ascii="Times New Roman" w:eastAsia="宋体" w:hAnsiTheme="minorHAnsi" w:cstheme="minorBidi"/>
      <w:color w:val="000000"/>
      <w:sz w:val="24"/>
      <w:szCs w:val="24"/>
    </w:rPr>
  </w:style>
  <w:style w:type="character" w:customStyle="1" w:styleId="17">
    <w:name w:val="Footnote Text Char"/>
    <w:link w:val="9"/>
    <w:semiHidden/>
    <w:unhideWhenUsed/>
    <w:uiPriority w:val="99"/>
    <w:rPr>
      <w:sz w:val="20"/>
      <w:szCs w:val="20"/>
    </w:rPr>
  </w:style>
  <w:style w:type="character" w:customStyle="1" w:styleId="18">
    <w:name w:val="Endnote Text Char"/>
    <w:link w:val="8"/>
    <w:semiHidden/>
    <w:unhideWhenUsed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1552</Words>
  <Characters>1650</Characters>
  <TotalTime>0</TotalTime>
  <ScaleCrop>false</ScaleCrop>
  <LinksUpToDate>false</LinksUpToDate>
  <CharactersWithSpaces>1713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2026-09-03T15:13:00Z</dcterms:created>
  <dc:creator>Un-named</dc:creator>
  <cp:lastModifiedBy>黑色铅笔</cp:lastModifiedBy>
  <dcterms:modified xsi:type="dcterms:W3CDTF">2026-10-30T10:22:52Z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eyJoZGlkIjoiOWE1MTAwMmEwMmU1NGJkMWZkMmQ5YjVjYmJlYTFkMTUiLCJ1c2VySWQiOiI3Nzk4NjMzNjMifQ==</vt:lpwstr>
  </property>
  <property fmtid="{D5CDD505-2E9C-101B-9397-08002B2CF9AE}" pid="3" name="KSOProductBuildVer">
    <vt:lpwstr>2052-12.1.0.29161</vt:lpwstr>
  </property>
  <property fmtid="{D5CDD505-2E9C-101B-9397-08002B2CF9AE}" pid="4" name="ICV">
    <vt:lpwstr>9951ACA727EC4D3FA9FE1DD0F20D514E_12</vt:lpwstr>
  </property>
</Properties>
</file>